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0" w:type="auto"/>
        <w:tblBorders>
          <w:top w:val="single" w:sz="6"/>
          <w:left w:val="single" w:sz="6"/>
          <w:bottom w:val="single" w:sz="6"/>
          <w:right w:val="single" w:sz="6"/>
        </w:tblBorders>
        <w:tblLook w:val="0400" w:firstRow="0" w:lastRow="0" w:firstColumn="0" w:lastColumn="0" w:noHBand="0" w:noVBand="1"/>
      </w:tblPr>
      <w:tblGrid>
        <w:gridCol w:w="3195"/>
        <w:gridCol w:w="4500"/>
        <w:gridCol w:w="375"/>
        <w:gridCol w:w="375"/>
        <w:gridCol w:w="360"/>
        <w:gridCol w:w="390"/>
      </w:tblGrid>
      <w:tr w:rsidR="6328D6D4" w:rsidTr="6328D6D4" w14:paraId="1E75EC1A">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51812593" w14:textId="21113527">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HUEL106</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328D6D4" w:rsidP="6328D6D4" w:rsidRDefault="6328D6D4" w14:paraId="13E31C6D" w14:textId="747EE630">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jc w:val="center"/>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1"/>
                <w:bCs w:val="1"/>
                <w:i w:val="0"/>
                <w:iCs w:val="0"/>
                <w:sz w:val="24"/>
                <w:szCs w:val="24"/>
                <w:lang w:val="en-IN"/>
              </w:rPr>
              <w:t>Women’s Writing</w:t>
            </w: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147F2EB6" w14:textId="2A82F6D9">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L</w:t>
            </w: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5D150BA0" w14:textId="33C31712">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T</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11DF7F76" w14:textId="13C33AE9">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P</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5FDA91C2" w14:textId="60CEEC5E">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C</w:t>
            </w:r>
          </w:p>
        </w:tc>
      </w:tr>
      <w:tr w:rsidR="6328D6D4" w:rsidTr="6328D6D4" w14:paraId="4E432262">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416ABE09" w14:textId="70583DA3">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Version 1.0</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6F0E9EF9" w14:textId="56750F6D">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2025A86E" w14:textId="45755C13">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3</w:t>
            </w: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15DB9EA1" w14:textId="3D40EC79">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1</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2418D52C" w14:textId="4B609CD5">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0</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3358879D" w14:textId="0D38AA4C">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4</w:t>
            </w:r>
          </w:p>
        </w:tc>
      </w:tr>
      <w:tr w:rsidR="6328D6D4" w:rsidTr="6328D6D4" w14:paraId="235F01E7">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014A6CB3" w14:textId="2E6DC76F">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Category of Course</w:t>
            </w:r>
          </w:p>
        </w:tc>
        <w:tc>
          <w:tcPr>
            <w:tcW w:w="6000" w:type="dxa"/>
            <w:gridSpan w:val="5"/>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6D06E745" w14:textId="421246C4">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Major- VI</w:t>
            </w:r>
          </w:p>
        </w:tc>
      </w:tr>
      <w:tr w:rsidR="6328D6D4" w:rsidTr="6328D6D4" w14:paraId="65AC9911">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29A98421" w14:textId="2E6B7990">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Total Contact Hours</w:t>
            </w:r>
          </w:p>
        </w:tc>
        <w:tc>
          <w:tcPr>
            <w:tcW w:w="6000" w:type="dxa"/>
            <w:gridSpan w:val="5"/>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67C442E7" w14:textId="3F86E7F1">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60 Hrs</w:t>
            </w:r>
          </w:p>
        </w:tc>
      </w:tr>
      <w:tr w:rsidR="6328D6D4" w:rsidTr="6328D6D4" w14:paraId="3F9406F3">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514F89B5" w14:textId="1FC62D63">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6328D6D4" w:rsidR="6328D6D4">
              <w:rPr>
                <w:rFonts w:ascii="Times New Roman" w:hAnsi="Times New Roman" w:eastAsia="Times New Roman" w:cs="Times New Roman"/>
                <w:b w:val="1"/>
                <w:bCs w:val="1"/>
                <w:i w:val="0"/>
                <w:iCs w:val="0"/>
                <w:color w:val="000000" w:themeColor="text1" w:themeTint="FF" w:themeShade="FF"/>
                <w:sz w:val="24"/>
                <w:szCs w:val="24"/>
                <w:lang w:val="en-IN"/>
              </w:rPr>
              <w:t>Pre-Requisites/          Co-Requisites</w:t>
            </w:r>
          </w:p>
        </w:tc>
        <w:tc>
          <w:tcPr>
            <w:tcW w:w="6000" w:type="dxa"/>
            <w:gridSpan w:val="5"/>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63800D61" w14:textId="2DE64867">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p>
        </w:tc>
      </w:tr>
    </w:tbl>
    <w:p xmlns:wp14="http://schemas.microsoft.com/office/word/2010/wordml" w:rsidP="6328D6D4" wp14:paraId="64123842" wp14:textId="09FB01EB">
      <w:pPr>
        <w:bidi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xmlns:wp14="http://schemas.microsoft.com/office/word/2010/wordml" w:rsidP="6328D6D4" wp14:paraId="6A96E1C1" wp14:textId="6643566B">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Course Perspective: </w:t>
      </w:r>
    </w:p>
    <w:p xmlns:wp14="http://schemas.microsoft.com/office/word/2010/wordml" w:rsidP="6328D6D4" wp14:paraId="3F2BF9D1" wp14:textId="66BA3C59">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The Women’s Writing course delves into the diverse voices and experiences of women authors across various cultures and time periods, highlighting how their literature reflects and challenges societal norms and gender roles. This course is essential for understanding the evolution of women's perspectives in literature, fostering critical thinking and analytical skills. Through exploring themes of identity, empowerment, and resistance, students will develop a nuanced understanding of how women's writing intersects with issues of race, class, and sexuality.</w:t>
      </w:r>
    </w:p>
    <w:p xmlns:wp14="http://schemas.microsoft.com/office/word/2010/wordml" w:rsidP="6328D6D4" wp14:paraId="40BD604C" wp14:textId="4325F97A">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p>
    <w:p xmlns:wp14="http://schemas.microsoft.com/office/word/2010/wordml" w:rsidP="6328D6D4" wp14:paraId="35B82157" wp14:textId="715099E3">
      <w:pPr>
        <w:bidi w:val="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IN"/>
        </w:rPr>
        <w:t>Course Outcome</w:t>
      </w:r>
    </w:p>
    <w:p xmlns:wp14="http://schemas.microsoft.com/office/word/2010/wordml" w:rsidP="6328D6D4" wp14:paraId="18FF06E3" wp14:textId="3412DCFE">
      <w:pPr>
        <w:bidi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Upon completion of the course the learner will be able to:</w:t>
      </w:r>
    </w:p>
    <w:p xmlns:wp14="http://schemas.microsoft.com/office/word/2010/wordml" w:rsidP="6328D6D4" wp14:paraId="34D3A3BD" wp14:textId="6795BBA2">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CO1: </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Understanding the historical and cultural contexts that have shaped women's writing across different periods and regions.</w:t>
      </w:r>
    </w:p>
    <w:p xmlns:wp14="http://schemas.microsoft.com/office/word/2010/wordml" w:rsidP="6328D6D4" wp14:paraId="252CFA2D" wp14:textId="5A424D54">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CO2: </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Applying feminist literary theories to analyze the themes, voices, and perspectives present in works by women authors.</w:t>
      </w:r>
    </w:p>
    <w:p xmlns:wp14="http://schemas.microsoft.com/office/word/2010/wordml" w:rsidP="6328D6D4" wp14:paraId="3593B8EB" wp14:textId="10C47493">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CO3: </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Analyzing the representation of gender, identity, and power dynamics in selected texts by writers. </w:t>
      </w:r>
    </w:p>
    <w:p xmlns:wp14="http://schemas.microsoft.com/office/word/2010/wordml" w:rsidP="6328D6D4" wp14:paraId="06776A35" wp14:textId="6FBC8FF6">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CO4: </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Evaluating the impact of societal norms and movements on the development of women's literature and its evolution over time.</w:t>
      </w:r>
    </w:p>
    <w:p xmlns:wp14="http://schemas.microsoft.com/office/word/2010/wordml" w:rsidP="6328D6D4" wp14:paraId="24205DBA" wp14:textId="4E8B0B2E">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CO5: </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Creating critical essays that synthesize insights from multiple texts, exploring the connections between women’s writing and broader literary movements.</w:t>
      </w:r>
    </w:p>
    <w:p xmlns:wp14="http://schemas.microsoft.com/office/word/2010/wordml" w:rsidP="6328D6D4" wp14:paraId="4B951CC5" wp14:textId="409F4A76">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xmlns:wp14="http://schemas.microsoft.com/office/word/2010/wordml" w:rsidP="6328D6D4" wp14:paraId="77D4168B" wp14:textId="1CB15DBD">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p>
    <w:p xmlns:wp14="http://schemas.microsoft.com/office/word/2010/wordml" w:rsidP="6328D6D4" wp14:paraId="3AA2FC1C" wp14:textId="78EA8ED5">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Course Content:</w:t>
      </w:r>
    </w:p>
    <w:p xmlns:wp14="http://schemas.microsoft.com/office/word/2010/wordml" w:rsidP="6328D6D4" wp14:paraId="4A627A53" wp14:textId="3276776E">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xmlns:wp14="http://schemas.microsoft.com/office/word/2010/wordml" w:rsidP="6328D6D4" wp14:paraId="2BC8F604" wp14:textId="540E9C78">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UNIT I: </w:t>
      </w:r>
      <w:r>
        <w:tab/>
      </w:r>
      <w:r>
        <w:tab/>
      </w:r>
      <w:r>
        <w:tab/>
      </w:r>
      <w:r>
        <w:tab/>
      </w:r>
      <w:r>
        <w:tab/>
      </w:r>
      <w:r>
        <w:tab/>
      </w:r>
      <w:r>
        <w:tab/>
      </w:r>
      <w:r>
        <w:tab/>
      </w: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15 Lecture Hours</w:t>
      </w:r>
    </w:p>
    <w:p xmlns:wp14="http://schemas.microsoft.com/office/word/2010/wordml" w:rsidP="6328D6D4" wp14:paraId="0584CDBE" wp14:textId="0D69B65B">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Chandra Talpade Mohanty : </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Under Western Eyes</w:t>
      </w:r>
    </w:p>
    <w:p xmlns:wp14="http://schemas.microsoft.com/office/word/2010/wordml" w:rsidP="6328D6D4" wp14:paraId="05B9F373" wp14:textId="5194CB4A">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Shashi Despande: </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Writing from the Margins</w:t>
      </w:r>
    </w:p>
    <w:p xmlns:wp14="http://schemas.microsoft.com/office/word/2010/wordml" w:rsidP="6328D6D4" wp14:paraId="2900BD72" wp14:textId="7163B9C8">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Virginia Woolf : A Room of One’s Own</w:t>
      </w:r>
    </w:p>
    <w:p xmlns:wp14="http://schemas.microsoft.com/office/word/2010/wordml" w:rsidP="6328D6D4" wp14:paraId="376AFA79" wp14:textId="349025B4">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UNIT II:</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 </w:t>
      </w:r>
      <w:r>
        <w:tab/>
      </w:r>
      <w:r>
        <w:tab/>
      </w:r>
      <w:r>
        <w:tab/>
      </w:r>
      <w:r>
        <w:tab/>
      </w:r>
      <w:r>
        <w:tab/>
      </w:r>
      <w:r>
        <w:tab/>
      </w:r>
      <w:r>
        <w:tab/>
      </w:r>
      <w:r>
        <w:tab/>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 </w:t>
      </w: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15 Lecture Hours</w:t>
      </w:r>
    </w:p>
    <w:p xmlns:wp14="http://schemas.microsoft.com/office/word/2010/wordml" w:rsidP="6328D6D4" wp14:paraId="43AEC96F" wp14:textId="33A91124">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Alice Walker: </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The Color Purple</w:t>
      </w:r>
    </w:p>
    <w:p xmlns:wp14="http://schemas.microsoft.com/office/word/2010/wordml" w:rsidP="6328D6D4" wp14:paraId="31E047D0" wp14:textId="10D36C67">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UNIT III:</w:t>
      </w:r>
      <w:r>
        <w:tab/>
      </w:r>
      <w:r>
        <w:tab/>
      </w:r>
      <w:r>
        <w:tab/>
      </w:r>
      <w:r>
        <w:tab/>
      </w:r>
      <w:r>
        <w:tab/>
      </w:r>
      <w:r>
        <w:tab/>
      </w:r>
      <w:r>
        <w:tab/>
      </w:r>
      <w:r>
        <w:tab/>
      </w: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15 Lecture Hours</w:t>
      </w:r>
    </w:p>
    <w:p xmlns:wp14="http://schemas.microsoft.com/office/word/2010/wordml" w:rsidP="6328D6D4" wp14:paraId="6EB1C958" wp14:textId="059AF04F">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Kamla Das : </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My</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 </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Grandmother’s House</w:t>
      </w:r>
    </w:p>
    <w:p xmlns:wp14="http://schemas.microsoft.com/office/word/2010/wordml" w:rsidP="6328D6D4" wp14:paraId="3A2D1A98" wp14:textId="741FB656">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Maya Angelou</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 Still I rise</w:t>
      </w:r>
    </w:p>
    <w:p xmlns:wp14="http://schemas.microsoft.com/office/word/2010/wordml" w:rsidP="6328D6D4" wp14:paraId="6D14839C" wp14:textId="4ACC6C7D">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Mahashweta Devi: </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Draupadi,</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 tr. Gayatri Chakravorty Spivak (Calcutta: Seagull, 2002) </w:t>
      </w:r>
    </w:p>
    <w:p xmlns:wp14="http://schemas.microsoft.com/office/word/2010/wordml" w:rsidP="6328D6D4" wp14:paraId="17E40004" wp14:textId="5CE81E2D">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xmlns:wp14="http://schemas.microsoft.com/office/word/2010/wordml" w:rsidP="6328D6D4" wp14:paraId="5532FF8E" wp14:textId="251FFA0F">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UNIT IV: </w:t>
      </w:r>
      <w:r>
        <w:tab/>
      </w:r>
      <w:r>
        <w:tab/>
      </w:r>
      <w:r>
        <w:tab/>
      </w:r>
      <w:r>
        <w:tab/>
      </w:r>
      <w:r>
        <w:tab/>
      </w:r>
      <w:r>
        <w:tab/>
      </w:r>
      <w:r>
        <w:tab/>
      </w:r>
      <w:r>
        <w:tab/>
      </w: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15 Lecture Hours</w:t>
      </w:r>
      <w:r>
        <w:tab/>
      </w:r>
    </w:p>
    <w:p xmlns:wp14="http://schemas.microsoft.com/office/word/2010/wordml" w:rsidP="6328D6D4" wp14:paraId="3F640C79" wp14:textId="298D1826">
      <w:pPr>
        <w:bidi w:val="0"/>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Chitra Bannerjee: Forest of Enchantements</w:t>
      </w:r>
    </w:p>
    <w:p xmlns:wp14="http://schemas.microsoft.com/office/word/2010/wordml" w:rsidP="6328D6D4" wp14:paraId="74978A7A" wp14:textId="6E3B18C8">
      <w:pPr>
        <w:bidi w:val="0"/>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IN"/>
        </w:rPr>
        <w:t xml:space="preserve">Textbooks: </w:t>
      </w:r>
    </w:p>
    <w:p xmlns:wp14="http://schemas.microsoft.com/office/word/2010/wordml" w:rsidP="6328D6D4" wp14:paraId="0FE83E9E" wp14:textId="430F654F">
      <w:pPr>
        <w:pStyle w:val="ListParagraph"/>
        <w:widowControl w:val="0"/>
        <w:numPr>
          <w:ilvl w:val="0"/>
          <w:numId w:val="1"/>
        </w:numPr>
        <w:tabs>
          <w:tab w:val="left" w:leader="none" w:pos="547"/>
        </w:tabs>
        <w:bidi w:val="0"/>
        <w:spacing w:after="120" w:line="360" w:lineRule="auto"/>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Beauvoir de,Simone.</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The Second Sex</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translated by Constance Borde and Shiela Malovany-Chevallier.Vintage, 2010.</w:t>
      </w:r>
    </w:p>
    <w:p xmlns:wp14="http://schemas.microsoft.com/office/word/2010/wordml" w:rsidP="6328D6D4" wp14:paraId="3B647D78" wp14:textId="66A9E56B">
      <w:pPr>
        <w:pStyle w:val="ListParagraph"/>
        <w:widowControl w:val="0"/>
        <w:numPr>
          <w:ilvl w:val="0"/>
          <w:numId w:val="1"/>
        </w:numPr>
        <w:tabs>
          <w:tab w:val="left" w:leader="none" w:pos="547"/>
        </w:tabs>
        <w:bidi w:val="0"/>
        <w:spacing w:after="120" w:line="360" w:lineRule="auto"/>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Mohanty, Chandra Talapade. ‘Under Western Eyes: Feminist Scholarship and Colonial Discourses’, in </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Contemporary Postcolonial Theory: A Reader</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 ed. Padmini Mongia. Arnold, 1996. </w:t>
      </w:r>
    </w:p>
    <w:p xmlns:wp14="http://schemas.microsoft.com/office/word/2010/wordml" w:rsidP="6328D6D4" wp14:paraId="354D7F33" wp14:textId="104D2913">
      <w:pPr>
        <w:tabs>
          <w:tab w:val="left" w:leader="none" w:pos="547"/>
        </w:tabs>
        <w:bidi w:val="0"/>
        <w:spacing w:after="12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IN"/>
        </w:rPr>
        <w:t xml:space="preserve">Reference Books: </w:t>
      </w:r>
    </w:p>
    <w:p xmlns:wp14="http://schemas.microsoft.com/office/word/2010/wordml" w:rsidP="6328D6D4" wp14:paraId="361E811F" wp14:textId="5880A872">
      <w:pPr>
        <w:pStyle w:val="ListParagraph"/>
        <w:widowControl w:val="0"/>
        <w:numPr>
          <w:ilvl w:val="0"/>
          <w:numId w:val="2"/>
        </w:numPr>
        <w:tabs>
          <w:tab w:val="left" w:leader="none" w:pos="547"/>
        </w:tabs>
        <w:bidi w:val="0"/>
        <w:spacing w:after="120" w:line="360" w:lineRule="auto"/>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Woolf, Virginia. </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A Room of One's Own</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.Harcourt, 1957. </w:t>
      </w:r>
    </w:p>
    <w:p xmlns:wp14="http://schemas.microsoft.com/office/word/2010/wordml" w:rsidP="6328D6D4" wp14:paraId="704EF0F8" wp14:textId="4737216C">
      <w:pPr>
        <w:pStyle w:val="ListParagraph"/>
        <w:widowControl w:val="0"/>
        <w:numPr>
          <w:ilvl w:val="0"/>
          <w:numId w:val="2"/>
        </w:numPr>
        <w:tabs>
          <w:tab w:val="left" w:leader="none" w:pos="547"/>
        </w:tabs>
        <w:bidi w:val="0"/>
        <w:spacing w:after="120" w:line="360" w:lineRule="auto"/>
        <w:contextualSpacing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Sangari, Kumkum and Sudesh Vaid. ‘Introduction’, in </w:t>
      </w:r>
      <w:r w:rsidRPr="6328D6D4" w:rsidR="2FF2E3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IN"/>
        </w:rPr>
        <w:t>Recasting Women: Essays in Colonial History</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.Kali for Women, 1989.</w:t>
      </w:r>
    </w:p>
    <w:p xmlns:wp14="http://schemas.microsoft.com/office/word/2010/wordml" w:rsidP="6328D6D4" wp14:paraId="3811E459" wp14:textId="68FBD800">
      <w:pPr>
        <w:bidi w:val="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p>
    <w:p xmlns:wp14="http://schemas.microsoft.com/office/word/2010/wordml" w:rsidP="6328D6D4" wp14:paraId="4327EC45" wp14:textId="31A40E28">
      <w:pPr>
        <w:bidi w:val="0"/>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IN"/>
        </w:rPr>
        <w:t>Open Educational Resources:</w:t>
      </w:r>
    </w:p>
    <w:p xmlns:wp14="http://schemas.microsoft.com/office/word/2010/wordml" w:rsidP="6328D6D4" wp14:paraId="3E371F30" wp14:textId="3EAB3895">
      <w:pPr>
        <w:bidi w:val="0"/>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Symbol" w:hAnsi="Symbol" w:eastAsia="Symbol" w:cs="Symbol"/>
          <w:b w:val="0"/>
          <w:bCs w:val="0"/>
          <w:i w:val="0"/>
          <w:iCs w:val="0"/>
          <w:caps w:val="0"/>
          <w:smallCaps w:val="0"/>
          <w:noProof w:val="0"/>
          <w:color w:val="000000" w:themeColor="text1" w:themeTint="FF" w:themeShade="FF"/>
          <w:sz w:val="24"/>
          <w:szCs w:val="24"/>
          <w:lang w:val="en-IN"/>
        </w:rPr>
        <w:t></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  </w:t>
      </w: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Project Gutenberg</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Provides access to works by female authors like Jane Austen and Emily Brontë.</w:t>
      </w:r>
      <w:r>
        <w:br/>
      </w:r>
      <w:hyperlink r:id="Ra095872866fe40e0">
        <w:r w:rsidRPr="6328D6D4" w:rsidR="2FF2E32A">
          <w:rPr>
            <w:rStyle w:val="Hyperlink"/>
            <w:rFonts w:ascii="Times New Roman" w:hAnsi="Times New Roman" w:eastAsia="Times New Roman" w:cs="Times New Roman"/>
            <w:b w:val="0"/>
            <w:bCs w:val="0"/>
            <w:i w:val="0"/>
            <w:iCs w:val="0"/>
            <w:caps w:val="0"/>
            <w:smallCaps w:val="0"/>
            <w:strike w:val="0"/>
            <w:dstrike w:val="0"/>
            <w:noProof w:val="0"/>
            <w:color w:val="0000FF"/>
            <w:sz w:val="24"/>
            <w:szCs w:val="24"/>
            <w:u w:val="single"/>
            <w:lang w:val="en-IN"/>
          </w:rPr>
          <w:t>Project Gutenberg</w:t>
        </w:r>
      </w:hyperlink>
    </w:p>
    <w:p xmlns:wp14="http://schemas.microsoft.com/office/word/2010/wordml" w:rsidP="6328D6D4" wp14:paraId="417FEF12" wp14:textId="1BD087D0">
      <w:pPr>
        <w:bidi w:val="0"/>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Symbol" w:hAnsi="Symbol" w:eastAsia="Symbol" w:cs="Symbol"/>
          <w:b w:val="0"/>
          <w:bCs w:val="0"/>
          <w:i w:val="0"/>
          <w:iCs w:val="0"/>
          <w:caps w:val="0"/>
          <w:smallCaps w:val="0"/>
          <w:noProof w:val="0"/>
          <w:color w:val="000000" w:themeColor="text1" w:themeTint="FF" w:themeShade="FF"/>
          <w:sz w:val="24"/>
          <w:szCs w:val="24"/>
          <w:lang w:val="en-IN"/>
        </w:rPr>
        <w:t></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  </w:t>
      </w: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Internet Archive</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Diverse collection of texts by women writers and critical analyses.</w:t>
      </w:r>
      <w:r>
        <w:br/>
      </w:r>
      <w:hyperlink r:id="R9eea1ef951bd4927">
        <w:r w:rsidRPr="6328D6D4" w:rsidR="2FF2E32A">
          <w:rPr>
            <w:rStyle w:val="Hyperlink"/>
            <w:rFonts w:ascii="Times New Roman" w:hAnsi="Times New Roman" w:eastAsia="Times New Roman" w:cs="Times New Roman"/>
            <w:b w:val="0"/>
            <w:bCs w:val="0"/>
            <w:i w:val="0"/>
            <w:iCs w:val="0"/>
            <w:caps w:val="0"/>
            <w:smallCaps w:val="0"/>
            <w:strike w:val="0"/>
            <w:dstrike w:val="0"/>
            <w:noProof w:val="0"/>
            <w:color w:val="0000FF"/>
            <w:sz w:val="24"/>
            <w:szCs w:val="24"/>
            <w:u w:val="single"/>
            <w:lang w:val="en-IN"/>
          </w:rPr>
          <w:t>Internet Archive</w:t>
        </w:r>
      </w:hyperlink>
    </w:p>
    <w:p xmlns:wp14="http://schemas.microsoft.com/office/word/2010/wordml" w:rsidP="6328D6D4" wp14:paraId="483A115F" wp14:textId="0709EA4B">
      <w:pPr>
        <w:bidi w:val="0"/>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Symbol" w:hAnsi="Symbol" w:eastAsia="Symbol" w:cs="Symbol"/>
          <w:b w:val="0"/>
          <w:bCs w:val="0"/>
          <w:i w:val="0"/>
          <w:iCs w:val="0"/>
          <w:caps w:val="0"/>
          <w:smallCaps w:val="0"/>
          <w:noProof w:val="0"/>
          <w:color w:val="000000" w:themeColor="text1" w:themeTint="FF" w:themeShade="FF"/>
          <w:sz w:val="24"/>
          <w:szCs w:val="24"/>
          <w:lang w:val="en-IN"/>
        </w:rPr>
        <w:t></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xml:space="preserve">  </w:t>
      </w: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OpenLearn - "The Role of Women in Literature"</w:t>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Examines contributions of women writers.</w:t>
      </w:r>
      <w:r>
        <w:br/>
      </w: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OpenLearn</w:t>
      </w:r>
    </w:p>
    <w:p xmlns:wp14="http://schemas.microsoft.com/office/word/2010/wordml" w:rsidP="6328D6D4" wp14:paraId="6EB6B827" wp14:textId="16B6C42E">
      <w:pPr>
        <w:bidi w:val="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p>
    <w:p xmlns:wp14="http://schemas.microsoft.com/office/word/2010/wordml" w:rsidP="6328D6D4" wp14:paraId="6E5DC132" wp14:textId="7B148ED7">
      <w:pPr>
        <w:bidi w:val="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IN"/>
        </w:rPr>
        <w:t xml:space="preserve">Learning Experience: </w:t>
      </w:r>
    </w:p>
    <w:p xmlns:wp14="http://schemas.microsoft.com/office/word/2010/wordml" w:rsidP="6328D6D4" wp14:paraId="3575ACC4" wp14:textId="0046B7F6">
      <w:pPr>
        <w:bidi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328D6D4" w:rsidR="2FF2E3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The Women’s Writing course offers a dynamic exploration of literary works by women from diverse backgrounds and historical contexts. Students engage with a variety of genres, including poetry, fiction, memoirs, and essays, examining themes such as identity, gender, race, and social justice. The course fosters critical discussions about the representation of women in literature and the impact of societal norms on their writing. Through close readings and collaborative projects, students enhance their analytical skills while developing a deeper appreciation for the contributions of women to the literary canon.</w:t>
      </w:r>
    </w:p>
    <w:p xmlns:wp14="http://schemas.microsoft.com/office/word/2010/wordml" w:rsidP="6328D6D4" wp14:paraId="28C16D18" wp14:textId="7EF6C04A">
      <w:pPr>
        <w:bidi w:val="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p>
    <w:p xmlns:wp14="http://schemas.microsoft.com/office/word/2010/wordml" w:rsidP="6328D6D4" wp14:paraId="120D0929" wp14:textId="786B021D">
      <w:pPr>
        <w:bidi w:val="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p>
    <w:p xmlns:wp14="http://schemas.microsoft.com/office/word/2010/wordml" w:rsidP="6328D6D4" wp14:paraId="4FD2C107" wp14:textId="672DCABF">
      <w:pPr>
        <w:bidi w:val="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pPr>
      <w:r w:rsidRPr="6328D6D4" w:rsidR="2FF2E32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IN"/>
        </w:rPr>
        <w:t>Evaluation Scheme:</w:t>
      </w: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2760"/>
        <w:gridCol w:w="2295"/>
        <w:gridCol w:w="2070"/>
        <w:gridCol w:w="2085"/>
      </w:tblGrid>
      <w:tr w:rsidR="6328D6D4" w:rsidTr="6328D6D4" w14:paraId="277BE5F9">
        <w:trPr>
          <w:trHeight w:val="210"/>
        </w:trPr>
        <w:tc>
          <w:tcPr>
            <w:tcW w:w="2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3F1C63D9" w14:textId="74E6AA04">
            <w:pPr>
              <w:bidi w:val="0"/>
              <w:spacing w:after="0"/>
              <w:jc w:val="center"/>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1"/>
                <w:bCs w:val="1"/>
                <w:i w:val="0"/>
                <w:iCs w:val="0"/>
                <w:sz w:val="24"/>
                <w:szCs w:val="24"/>
                <w:lang w:val="en-IN"/>
              </w:rPr>
              <w:t>Components</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314FD25A" w14:textId="1B19AEA2">
            <w:pPr>
              <w:bidi w:val="0"/>
              <w:spacing w:after="0"/>
              <w:jc w:val="center"/>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1"/>
                <w:bCs w:val="1"/>
                <w:i w:val="0"/>
                <w:iCs w:val="0"/>
                <w:sz w:val="24"/>
                <w:szCs w:val="24"/>
                <w:lang w:val="en-IN"/>
              </w:rPr>
              <w:t xml:space="preserve">Continuous Assessment </w:t>
            </w:r>
          </w:p>
        </w:tc>
        <w:tc>
          <w:tcPr>
            <w:tcW w:w="20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487EE289" w14:textId="7E7003B6">
            <w:pPr>
              <w:bidi w:val="0"/>
              <w:spacing w:after="0"/>
              <w:jc w:val="center"/>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1"/>
                <w:bCs w:val="1"/>
                <w:i w:val="0"/>
                <w:iCs w:val="0"/>
                <w:sz w:val="24"/>
                <w:szCs w:val="24"/>
                <w:lang w:val="en-IN"/>
              </w:rPr>
              <w:t>Mid Term</w:t>
            </w:r>
          </w:p>
          <w:p w:rsidR="6328D6D4" w:rsidP="6328D6D4" w:rsidRDefault="6328D6D4" w14:paraId="50E662E7" w14:textId="1A990B16">
            <w:pPr>
              <w:bidi w:val="0"/>
              <w:spacing w:after="0"/>
              <w:jc w:val="center"/>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1"/>
                <w:bCs w:val="1"/>
                <w:i w:val="0"/>
                <w:iCs w:val="0"/>
                <w:sz w:val="24"/>
                <w:szCs w:val="24"/>
                <w:lang w:val="en-IN"/>
              </w:rPr>
              <w:t>Exam</w:t>
            </w:r>
          </w:p>
        </w:tc>
        <w:tc>
          <w:tcPr>
            <w:tcW w:w="20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6D94D75C" w14:textId="4A0B6482">
            <w:pPr>
              <w:bidi w:val="0"/>
              <w:spacing w:after="0"/>
              <w:jc w:val="center"/>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1"/>
                <w:bCs w:val="1"/>
                <w:i w:val="0"/>
                <w:iCs w:val="0"/>
                <w:sz w:val="24"/>
                <w:szCs w:val="24"/>
                <w:lang w:val="en-IN"/>
              </w:rPr>
              <w:t>End Term</w:t>
            </w:r>
          </w:p>
          <w:p w:rsidR="6328D6D4" w:rsidP="6328D6D4" w:rsidRDefault="6328D6D4" w14:paraId="5D65CC21" w14:textId="22114B35">
            <w:pPr>
              <w:bidi w:val="0"/>
              <w:spacing w:after="0"/>
              <w:jc w:val="center"/>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1"/>
                <w:bCs w:val="1"/>
                <w:i w:val="0"/>
                <w:iCs w:val="0"/>
                <w:sz w:val="24"/>
                <w:szCs w:val="24"/>
                <w:lang w:val="en-IN"/>
              </w:rPr>
              <w:t>Exam</w:t>
            </w:r>
          </w:p>
        </w:tc>
      </w:tr>
      <w:tr w:rsidR="6328D6D4" w:rsidTr="6328D6D4" w14:paraId="7C6D0A78">
        <w:trPr>
          <w:trHeight w:val="210"/>
        </w:trPr>
        <w:tc>
          <w:tcPr>
            <w:tcW w:w="2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3F3EC4AF" w14:textId="23C56EE3">
            <w:pPr>
              <w:bidi w:val="0"/>
              <w:spacing w:after="0"/>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1"/>
                <w:bCs w:val="1"/>
                <w:i w:val="0"/>
                <w:iCs w:val="0"/>
                <w:sz w:val="24"/>
                <w:szCs w:val="24"/>
                <w:lang w:val="en-IN"/>
              </w:rPr>
              <w:t>Weightage (%)</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71645671" w14:textId="5D389171">
            <w:pPr>
              <w:bidi w:val="0"/>
              <w:spacing w:after="0"/>
              <w:jc w:val="center"/>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0"/>
                <w:bCs w:val="0"/>
                <w:i w:val="0"/>
                <w:iCs w:val="0"/>
                <w:sz w:val="24"/>
                <w:szCs w:val="24"/>
                <w:lang w:val="en-IN"/>
              </w:rPr>
              <w:t>30</w:t>
            </w:r>
          </w:p>
        </w:tc>
        <w:tc>
          <w:tcPr>
            <w:tcW w:w="20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034D5AA8" w14:textId="7D838D0F">
            <w:pPr>
              <w:bidi w:val="0"/>
              <w:spacing w:after="0"/>
              <w:jc w:val="center"/>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0"/>
                <w:bCs w:val="0"/>
                <w:i w:val="0"/>
                <w:iCs w:val="0"/>
                <w:sz w:val="24"/>
                <w:szCs w:val="24"/>
                <w:lang w:val="en-IN"/>
              </w:rPr>
              <w:t>20</w:t>
            </w:r>
          </w:p>
        </w:tc>
        <w:tc>
          <w:tcPr>
            <w:tcW w:w="20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328D6D4" w:rsidP="6328D6D4" w:rsidRDefault="6328D6D4" w14:paraId="08E5DB58" w14:textId="743E673D">
            <w:pPr>
              <w:bidi w:val="0"/>
              <w:spacing w:after="0"/>
              <w:jc w:val="center"/>
              <w:rPr>
                <w:rFonts w:ascii="Times New Roman" w:hAnsi="Times New Roman" w:eastAsia="Times New Roman" w:cs="Times New Roman"/>
                <w:b w:val="0"/>
                <w:bCs w:val="0"/>
                <w:i w:val="0"/>
                <w:iCs w:val="0"/>
                <w:sz w:val="24"/>
                <w:szCs w:val="24"/>
              </w:rPr>
            </w:pPr>
            <w:r w:rsidRPr="6328D6D4" w:rsidR="6328D6D4">
              <w:rPr>
                <w:rFonts w:ascii="Times New Roman" w:hAnsi="Times New Roman" w:eastAsia="Times New Roman" w:cs="Times New Roman"/>
                <w:b w:val="0"/>
                <w:bCs w:val="0"/>
                <w:i w:val="0"/>
                <w:iCs w:val="0"/>
                <w:sz w:val="24"/>
                <w:szCs w:val="24"/>
                <w:lang w:val="en-IN"/>
              </w:rPr>
              <w:t>50</w:t>
            </w:r>
          </w:p>
        </w:tc>
      </w:tr>
    </w:tbl>
    <w:p xmlns:wp14="http://schemas.microsoft.com/office/word/2010/wordml" w:rsidP="6328D6D4" wp14:paraId="79D0EB40" wp14:textId="2964F62D">
      <w:pPr>
        <w:bidi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50E50715"/>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7e1d889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5b8141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91787C"/>
    <w:rsid w:val="2491787C"/>
    <w:rsid w:val="2FF2E32A"/>
    <w:rsid w:val="6328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787C"/>
  <w15:chartTrackingRefBased/>
  <w15:docId w15:val="{DABFC91E-4045-4552-829D-1F349956F4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328D6D4"/>
    <w:pPr>
      <w:spacing/>
      <w:ind w:left="720"/>
      <w:contextualSpacing/>
    </w:pPr>
  </w:style>
  <w:style w:type="character" w:styleId="Hyperlink">
    <w:uiPriority w:val="99"/>
    <w:name w:val="Hyperlink"/>
    <w:basedOn w:val="DefaultParagraphFont"/>
    <w:unhideWhenUsed/>
    <w:rsid w:val="6328D6D4"/>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gutenberg.org/" TargetMode="External" Id="Ra095872866fe40e0" /><Relationship Type="http://schemas.openxmlformats.org/officeDocument/2006/relationships/hyperlink" Target="https://archive.org/" TargetMode="External" Id="R9eea1ef951bd4927" /><Relationship Type="http://schemas.openxmlformats.org/officeDocument/2006/relationships/numbering" Target="/word/numbering.xml" Id="Re6f158cb48264d7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Ambika Bhatnagar</dc:creator>
  <keywords/>
  <dc:description/>
  <lastModifiedBy>Ms. Ambika Bhatnagar</lastModifiedBy>
  <revision>2</revision>
  <dcterms:created xsi:type="dcterms:W3CDTF">2026-01-16T07:24:09.1678502Z</dcterms:created>
  <dcterms:modified xsi:type="dcterms:W3CDTF">2026-01-16T07:24:37.1010489Z</dcterms:modified>
</coreProperties>
</file>